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D0327" w14:textId="77777777" w:rsidR="00B85872" w:rsidRDefault="00B85872" w:rsidP="0088752A">
      <w:pPr>
        <w:spacing w:after="0" w:line="240" w:lineRule="auto"/>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52FD98B3">
                <wp:simplePos x="0" y="0"/>
                <wp:positionH relativeFrom="column">
                  <wp:posOffset>800100</wp:posOffset>
                </wp:positionH>
                <wp:positionV relativeFrom="paragraph">
                  <wp:posOffset>-205740</wp:posOffset>
                </wp:positionV>
                <wp:extent cx="1828800" cy="571500"/>
                <wp:effectExtent l="57150" t="57150" r="56515" b="57150"/>
                <wp:wrapNone/>
                <wp:docPr id="1" name="Text Box 1"/>
                <wp:cNvGraphicFramePr/>
                <a:graphic xmlns:a="http://schemas.openxmlformats.org/drawingml/2006/main">
                  <a:graphicData uri="http://schemas.microsoft.com/office/word/2010/wordprocessingShape">
                    <wps:wsp>
                      <wps:cNvSpPr txBox="1"/>
                      <wps:spPr>
                        <a:xfrm>
                          <a:off x="0" y="0"/>
                          <a:ext cx="1828800" cy="571500"/>
                        </a:xfrm>
                        <a:prstGeom prst="rect">
                          <a:avLst/>
                        </a:prstGeom>
                        <a:solidFill>
                          <a:srgbClr val="FFFFFF"/>
                        </a:solidFill>
                        <a:ln>
                          <a:noFill/>
                        </a:ln>
                        <a:scene3d>
                          <a:camera prst="orthographicFront"/>
                          <a:lightRig rig="threePt" dir="t"/>
                        </a:scene3d>
                      </wps:spPr>
                      <wps:txb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D84D4" id="_x0000_t202" coordsize="21600,21600" o:spt="202" path="m,l,21600r21600,l21600,xe">
                <v:stroke joinstyle="miter"/>
                <v:path gradientshapeok="t" o:connecttype="rect"/>
              </v:shapetype>
              <v:shape id="Text Box 1" o:spid="_x0000_s1026" type="#_x0000_t202" style="position:absolute;left:0;text-align:left;margin-left:63pt;margin-top:-16.2pt;width:2in;height: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" stroked="f">
                <v:textbo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Pr="00DB27DF" w:rsidRDefault="00B85872" w:rsidP="00DB27DF">
      <w:pPr>
        <w:spacing w:after="0" w:line="276" w:lineRule="auto"/>
        <w:jc w:val="center"/>
        <w:rPr>
          <w:rFonts w:ascii="Times New Roman" w:hAnsi="Times New Roman" w:cs="Times New Roman"/>
          <w:sz w:val="26"/>
          <w:szCs w:val="26"/>
        </w:rPr>
      </w:pPr>
    </w:p>
    <w:p w14:paraId="27A44694" w14:textId="016A51A5" w:rsidR="00B85872" w:rsidRPr="00DB27DF" w:rsidRDefault="00B85872"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t>
      </w:r>
      <w:r w:rsidR="000459EA">
        <w:rPr>
          <w:rFonts w:ascii="Monotype Corsiva" w:hAnsi="Monotype Corsiva" w:cs="Times New Roman"/>
          <w:sz w:val="26"/>
          <w:szCs w:val="26"/>
        </w:rPr>
        <w:t>2</w:t>
      </w:r>
      <w:r w:rsidR="00FD72CD">
        <w:rPr>
          <w:rFonts w:ascii="Monotype Corsiva" w:hAnsi="Monotype Corsiva" w:cs="Times New Roman"/>
          <w:sz w:val="26"/>
          <w:szCs w:val="26"/>
        </w:rPr>
        <w:t>7</w:t>
      </w:r>
      <w:r w:rsidR="006D6E82" w:rsidRPr="00DB27DF">
        <w:rPr>
          <w:rFonts w:ascii="Monotype Corsiva" w:hAnsi="Monotype Corsiva" w:cs="Times New Roman"/>
          <w:sz w:val="26"/>
          <w:szCs w:val="26"/>
        </w:rPr>
        <w:t>/</w:t>
      </w:r>
      <w:r w:rsidR="00FD72CD">
        <w:rPr>
          <w:rFonts w:ascii="Monotype Corsiva" w:hAnsi="Monotype Corsiva" w:cs="Times New Roman"/>
          <w:sz w:val="26"/>
          <w:szCs w:val="26"/>
        </w:rPr>
        <w:t>11</w:t>
      </w:r>
      <w:r w:rsidR="006D6E82" w:rsidRPr="00DB27DF">
        <w:rPr>
          <w:rFonts w:ascii="Monotype Corsiva" w:hAnsi="Monotype Corsiva" w:cs="Times New Roman"/>
          <w:sz w:val="26"/>
          <w:szCs w:val="26"/>
        </w:rPr>
        <w:t>/</w:t>
      </w:r>
      <w:r w:rsidRPr="00DB27DF">
        <w:rPr>
          <w:rFonts w:ascii="Monotype Corsiva" w:hAnsi="Monotype Corsiva" w:cs="Times New Roman"/>
          <w:sz w:val="26"/>
          <w:szCs w:val="26"/>
        </w:rPr>
        <w:t>2022)</w:t>
      </w:r>
    </w:p>
    <w:p w14:paraId="6434572F"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Watchman Catholic Charismatic Renewal Movement</w:t>
      </w:r>
    </w:p>
    <w:p w14:paraId="4701817D"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(Voice of the Last Day Ministries Inc.), Toronto, Canada</w:t>
      </w:r>
    </w:p>
    <w:p w14:paraId="1FD162F7" w14:textId="77777777" w:rsidR="0088752A" w:rsidRPr="00DB27DF" w:rsidRDefault="0088752A" w:rsidP="00DB27DF">
      <w:pPr>
        <w:spacing w:after="0" w:line="276" w:lineRule="auto"/>
        <w:rPr>
          <w:rFonts w:ascii="Harlow Solid Italic" w:hAnsi="Harlow Solid Italic" w:cs="Times New Roman"/>
          <w:b/>
          <w:sz w:val="26"/>
          <w:szCs w:val="26"/>
        </w:rPr>
      </w:pPr>
    </w:p>
    <w:p w14:paraId="57317C07" w14:textId="77777777" w:rsidR="00FD72CD" w:rsidRPr="002A340F" w:rsidRDefault="00FD72CD" w:rsidP="00FD72CD">
      <w:pPr>
        <w:pStyle w:val="Heading2"/>
        <w:rPr>
          <w:sz w:val="26"/>
        </w:rPr>
      </w:pPr>
      <w:r w:rsidRPr="002A340F">
        <w:rPr>
          <w:sz w:val="26"/>
        </w:rPr>
        <w:t>Topic:       THE CHILDREN OF THE KINGDOM AND CHILDREN OF THIS WORLD (Part1)</w:t>
      </w:r>
    </w:p>
    <w:p w14:paraId="20700FFB" w14:textId="77777777" w:rsidR="00FD72CD" w:rsidRPr="002A340F" w:rsidRDefault="00FD72CD" w:rsidP="00FD72CD">
      <w:pPr>
        <w:pStyle w:val="Heading2"/>
        <w:ind w:left="0" w:firstLine="0"/>
        <w:rPr>
          <w:sz w:val="26"/>
        </w:rPr>
      </w:pPr>
      <w:r w:rsidRPr="002A340F">
        <w:rPr>
          <w:sz w:val="26"/>
        </w:rPr>
        <w:t>Text:          Matt. 8:12; 13:38; Lk.16.8</w:t>
      </w:r>
    </w:p>
    <w:p w14:paraId="0621D832" w14:textId="77777777" w:rsidR="00FD72CD" w:rsidRPr="002A340F" w:rsidRDefault="00FD72CD" w:rsidP="002A340F">
      <w:pPr>
        <w:pStyle w:val="Heading2"/>
        <w:spacing w:line="240" w:lineRule="auto"/>
        <w:ind w:left="0" w:firstLine="0"/>
        <w:jc w:val="both"/>
        <w:rPr>
          <w:b w:val="0"/>
          <w:sz w:val="26"/>
        </w:rPr>
      </w:pPr>
      <w:r w:rsidRPr="002A340F">
        <w:rPr>
          <w:b w:val="0"/>
          <w:sz w:val="26"/>
        </w:rPr>
        <w:t>Expectedly, today's Christianity is saddled with too many problems because of the last day’s increase of iniquity (Matt.24:12; 2Tim.3:1-5). Nowadays, every person that belongs to some congregation where the names of God and Christ are mentioned claims to be a Christian. However, it’s not everyone that is found in some church organizations that is a Christian or a member of the kingdom of God. In fact, there are whole congregations that have no children of God among them. Furthermore, many are called apostles, prophets, evangelists, pastors, reverends, men of God, etc. who are not children of God, not to talk of being apostles, prophets, evangelists, etc.</w:t>
      </w:r>
    </w:p>
    <w:p w14:paraId="5B6F98A1" w14:textId="77777777" w:rsidR="00FD72CD" w:rsidRPr="002A340F" w:rsidRDefault="00FD72CD" w:rsidP="00FD72CD">
      <w:pPr>
        <w:pStyle w:val="NoSpacing"/>
        <w:rPr>
          <w:sz w:val="26"/>
          <w:szCs w:val="26"/>
        </w:rPr>
      </w:pPr>
      <w:r w:rsidRPr="002A340F">
        <w:rPr>
          <w:sz w:val="26"/>
          <w:szCs w:val="26"/>
        </w:rPr>
        <w:t xml:space="preserve">The purpose of this series of Bible Discourse on the above subject matter, among others, is </w:t>
      </w:r>
      <w:proofErr w:type="gramStart"/>
      <w:r w:rsidRPr="002A340F">
        <w:rPr>
          <w:sz w:val="26"/>
          <w:szCs w:val="26"/>
        </w:rPr>
        <w:t>to:-</w:t>
      </w:r>
      <w:proofErr w:type="gramEnd"/>
    </w:p>
    <w:p w14:paraId="633F479B" w14:textId="77777777" w:rsidR="00FD72CD" w:rsidRPr="002A340F" w:rsidRDefault="00FD72CD" w:rsidP="00FD72CD">
      <w:pPr>
        <w:pStyle w:val="NoSpacing"/>
        <w:numPr>
          <w:ilvl w:val="0"/>
          <w:numId w:val="6"/>
        </w:numPr>
        <w:rPr>
          <w:sz w:val="26"/>
          <w:szCs w:val="26"/>
        </w:rPr>
      </w:pPr>
      <w:r w:rsidRPr="002A340F">
        <w:rPr>
          <w:sz w:val="26"/>
          <w:szCs w:val="26"/>
        </w:rPr>
        <w:t>Expose the presumptions or impersonations that have filled today's Christendom</w:t>
      </w:r>
    </w:p>
    <w:p w14:paraId="0DAAED76" w14:textId="77777777" w:rsidR="00FD72CD" w:rsidRPr="002A340F" w:rsidRDefault="00FD72CD" w:rsidP="00FD72CD">
      <w:pPr>
        <w:pStyle w:val="NoSpacing"/>
        <w:numPr>
          <w:ilvl w:val="0"/>
          <w:numId w:val="6"/>
        </w:numPr>
        <w:rPr>
          <w:sz w:val="26"/>
          <w:szCs w:val="26"/>
        </w:rPr>
      </w:pPr>
      <w:r w:rsidRPr="002A340F">
        <w:rPr>
          <w:sz w:val="26"/>
          <w:szCs w:val="26"/>
        </w:rPr>
        <w:t>Define who the children of the kingdom are, thereby helping those who come to the visible church determine where they belong or who they are</w:t>
      </w:r>
    </w:p>
    <w:p w14:paraId="71648DC6" w14:textId="77777777" w:rsidR="00FD72CD" w:rsidRPr="002A340F" w:rsidRDefault="00FD72CD" w:rsidP="00FD72CD">
      <w:pPr>
        <w:pStyle w:val="NoSpacing"/>
        <w:numPr>
          <w:ilvl w:val="0"/>
          <w:numId w:val="6"/>
        </w:numPr>
        <w:rPr>
          <w:sz w:val="26"/>
          <w:szCs w:val="26"/>
        </w:rPr>
      </w:pPr>
      <w:r w:rsidRPr="002A340F">
        <w:rPr>
          <w:sz w:val="26"/>
          <w:szCs w:val="26"/>
        </w:rPr>
        <w:t>Aid those who do not belong to the kingdom of God (though they are in some church organization to enter the kingdom</w:t>
      </w:r>
    </w:p>
    <w:p w14:paraId="399FD0D4" w14:textId="77777777" w:rsidR="00FD72CD" w:rsidRPr="002A340F" w:rsidRDefault="00FD72CD" w:rsidP="00FD72CD">
      <w:pPr>
        <w:pStyle w:val="NoSpacing"/>
        <w:numPr>
          <w:ilvl w:val="0"/>
          <w:numId w:val="6"/>
        </w:numPr>
        <w:rPr>
          <w:sz w:val="26"/>
          <w:szCs w:val="26"/>
        </w:rPr>
      </w:pPr>
      <w:r w:rsidRPr="002A340F">
        <w:rPr>
          <w:sz w:val="26"/>
          <w:szCs w:val="26"/>
        </w:rPr>
        <w:t xml:space="preserve">Open the eyes of understanding of the children of the kingdom, through the key </w:t>
      </w:r>
      <w:proofErr w:type="gramStart"/>
      <w:r w:rsidRPr="002A340F">
        <w:rPr>
          <w:sz w:val="26"/>
          <w:szCs w:val="26"/>
        </w:rPr>
        <w:t>of</w:t>
      </w:r>
      <w:proofErr w:type="gramEnd"/>
      <w:r w:rsidRPr="002A340F">
        <w:rPr>
          <w:sz w:val="26"/>
          <w:szCs w:val="26"/>
        </w:rPr>
        <w:t xml:space="preserve"> the word of God to their great privileges (cp. Eph.1:17-19)</w:t>
      </w:r>
    </w:p>
    <w:p w14:paraId="025D7634" w14:textId="45798D14" w:rsidR="00FD72CD" w:rsidRPr="002A340F" w:rsidRDefault="00FD72CD" w:rsidP="00FD72CD">
      <w:pPr>
        <w:pStyle w:val="NoSpacing"/>
        <w:numPr>
          <w:ilvl w:val="0"/>
          <w:numId w:val="6"/>
        </w:numPr>
        <w:rPr>
          <w:sz w:val="26"/>
          <w:szCs w:val="26"/>
        </w:rPr>
      </w:pPr>
      <w:r w:rsidRPr="002A340F">
        <w:rPr>
          <w:sz w:val="26"/>
          <w:szCs w:val="26"/>
        </w:rPr>
        <w:t>Show those who may remain children of this world till death, the eternal consequence for doing so</w:t>
      </w:r>
    </w:p>
    <w:p w14:paraId="568C5E50" w14:textId="77777777" w:rsidR="00FD72CD" w:rsidRPr="002A340F" w:rsidRDefault="00FD72CD" w:rsidP="00FD72CD">
      <w:pPr>
        <w:pStyle w:val="Heading3"/>
        <w:rPr>
          <w:sz w:val="26"/>
          <w:szCs w:val="26"/>
        </w:rPr>
      </w:pPr>
      <w:r w:rsidRPr="002A340F">
        <w:rPr>
          <w:sz w:val="26"/>
          <w:szCs w:val="26"/>
        </w:rPr>
        <w:t>THE CHILDREN OF THE KINGDOM DEFINED.</w:t>
      </w:r>
    </w:p>
    <w:p w14:paraId="620B1075" w14:textId="7F65FA05" w:rsidR="00FD72CD" w:rsidRPr="002A340F" w:rsidRDefault="00FD72CD" w:rsidP="002A340F">
      <w:pPr>
        <w:pStyle w:val="NoSpacing"/>
        <w:rPr>
          <w:sz w:val="26"/>
          <w:szCs w:val="26"/>
        </w:rPr>
      </w:pPr>
      <w:r w:rsidRPr="002A340F">
        <w:rPr>
          <w:sz w:val="26"/>
          <w:szCs w:val="26"/>
        </w:rPr>
        <w:t xml:space="preserve">The children of the kingdom of God simply refers to people who belong to, or are members of the unseen kingdom of God, though they are yet in this world. This means that they are citizens of the kingdom of God </w:t>
      </w:r>
      <w:proofErr w:type="gramStart"/>
      <w:r w:rsidRPr="002A340F">
        <w:rPr>
          <w:sz w:val="26"/>
          <w:szCs w:val="26"/>
        </w:rPr>
        <w:t>above, yet</w:t>
      </w:r>
      <w:proofErr w:type="gramEnd"/>
      <w:r w:rsidRPr="002A340F">
        <w:rPr>
          <w:sz w:val="26"/>
          <w:szCs w:val="26"/>
        </w:rPr>
        <w:t xml:space="preserve"> living in the world (cp. Heb.11:9-10, 13-16; 12:22-24; Phil.3:20).</w:t>
      </w:r>
    </w:p>
    <w:p w14:paraId="11C11702" w14:textId="66CAC788" w:rsidR="00FD72CD" w:rsidRPr="002A340F" w:rsidRDefault="00FD72CD" w:rsidP="00FD72CD">
      <w:pPr>
        <w:pStyle w:val="NoSpacing"/>
        <w:rPr>
          <w:sz w:val="26"/>
          <w:szCs w:val="26"/>
        </w:rPr>
      </w:pPr>
      <w:r w:rsidRPr="002A340F">
        <w:rPr>
          <w:sz w:val="26"/>
          <w:szCs w:val="26"/>
        </w:rPr>
        <w:t>To illustrate this, let us consider citizens of say, Nigeria, who are living in Canada; though these are residents of Canada, they are nonetheless citizens of Nigeria and could return to Nigeria anytime, to stay permanently.</w:t>
      </w:r>
    </w:p>
    <w:p w14:paraId="379C6578" w14:textId="77777777" w:rsidR="00FD72CD" w:rsidRPr="002A340F" w:rsidRDefault="00FD72CD" w:rsidP="00FD72CD">
      <w:pPr>
        <w:pStyle w:val="Heading3"/>
        <w:rPr>
          <w:sz w:val="26"/>
          <w:szCs w:val="26"/>
        </w:rPr>
      </w:pPr>
      <w:r w:rsidRPr="002A340F">
        <w:rPr>
          <w:sz w:val="26"/>
          <w:szCs w:val="26"/>
        </w:rPr>
        <w:t>THE CHILDREN OF THE KINGDOM: THEIR OTHER TITLES AND THE IMPLICATIONS</w:t>
      </w:r>
    </w:p>
    <w:p w14:paraId="05ED79D9" w14:textId="77777777" w:rsidR="00FD72CD" w:rsidRPr="002A340F" w:rsidRDefault="00FD72CD" w:rsidP="00FD72CD">
      <w:pPr>
        <w:pStyle w:val="NoSpacing"/>
        <w:rPr>
          <w:sz w:val="26"/>
          <w:szCs w:val="26"/>
        </w:rPr>
      </w:pPr>
      <w:r w:rsidRPr="002A340F">
        <w:rPr>
          <w:sz w:val="26"/>
          <w:szCs w:val="26"/>
        </w:rPr>
        <w:t>Here, we want to consider some of the other titles that have been given to the children of the kingdom and see what those titles depict of those who are so referred.</w:t>
      </w:r>
    </w:p>
    <w:p w14:paraId="026837BA" w14:textId="77777777" w:rsidR="00FD72CD" w:rsidRPr="002A340F" w:rsidRDefault="00FD72CD" w:rsidP="00FD72CD">
      <w:pPr>
        <w:pStyle w:val="Heading4"/>
        <w:numPr>
          <w:ilvl w:val="0"/>
          <w:numId w:val="0"/>
        </w:numPr>
        <w:rPr>
          <w:sz w:val="26"/>
          <w:szCs w:val="26"/>
        </w:rPr>
      </w:pPr>
      <w:r w:rsidRPr="002A340F">
        <w:rPr>
          <w:sz w:val="26"/>
          <w:szCs w:val="26"/>
        </w:rPr>
        <w:t>The Children of Light (Lk16:8; Jn.12:36; Eph.5:8; 1 Thess. 5:5)</w:t>
      </w:r>
    </w:p>
    <w:p w14:paraId="732E8F64" w14:textId="77777777" w:rsidR="00FD72CD" w:rsidRPr="002A340F" w:rsidRDefault="00FD72CD" w:rsidP="00FD72CD">
      <w:pPr>
        <w:pStyle w:val="NoSpacing"/>
        <w:rPr>
          <w:sz w:val="26"/>
          <w:szCs w:val="26"/>
        </w:rPr>
      </w:pPr>
      <w:r w:rsidRPr="002A340F">
        <w:rPr>
          <w:sz w:val="26"/>
          <w:szCs w:val="26"/>
        </w:rPr>
        <w:t xml:space="preserve">The children of the kingdom of God are also called the children of light by the Lord and His apostles (see. Lk.16:8; Jn. 12:36; Eph.5:8; 1Thess.5:5). To enable us fully </w:t>
      </w:r>
      <w:proofErr w:type="gramStart"/>
      <w:r w:rsidRPr="002A340F">
        <w:rPr>
          <w:sz w:val="26"/>
          <w:szCs w:val="26"/>
        </w:rPr>
        <w:t>comprehend</w:t>
      </w:r>
      <w:proofErr w:type="gramEnd"/>
      <w:r w:rsidRPr="002A340F">
        <w:rPr>
          <w:sz w:val="26"/>
          <w:szCs w:val="26"/>
        </w:rPr>
        <w:t xml:space="preserve"> what this means and what is expected of those called the children of light, let us literally compare the effects of light to those of darkness. In darkness, nothing is recognized; people stumble and fall; people miss their ways, and there is fear in the heart. But in light, the opposite is the case (see. Jn.11:9-10).</w:t>
      </w:r>
    </w:p>
    <w:p w14:paraId="5C3FF1B4" w14:textId="6DFD86D3" w:rsidR="00FD72CD" w:rsidRPr="002A340F" w:rsidRDefault="00FD72CD" w:rsidP="00FD72CD">
      <w:pPr>
        <w:pStyle w:val="NoSpacing"/>
        <w:rPr>
          <w:sz w:val="26"/>
          <w:szCs w:val="26"/>
        </w:rPr>
      </w:pPr>
      <w:r w:rsidRPr="002A340F">
        <w:rPr>
          <w:sz w:val="26"/>
          <w:szCs w:val="26"/>
        </w:rPr>
        <w:t xml:space="preserve">From this we see that children of light are those whose lives are ruled by the light of God's word, either in the form of doctrine, reproof, correction, or instruction (see 2Tim.3:16-17; Jn.8:12). Also, they are those whose lifestyles throw light to the people in darkness (see Matt.5:14; Acts 13:47). Besides, </w:t>
      </w:r>
      <w:r w:rsidRPr="002A340F">
        <w:rPr>
          <w:i/>
          <w:iCs/>
          <w:sz w:val="26"/>
          <w:szCs w:val="26"/>
        </w:rPr>
        <w:t>the children of light are those who throw light to the children of darkness by the precepts of the word of God they preach and teach</w:t>
      </w:r>
      <w:r w:rsidRPr="002A340F">
        <w:rPr>
          <w:sz w:val="26"/>
          <w:szCs w:val="26"/>
        </w:rPr>
        <w:t xml:space="preserve"> (cons. Jn5:35; Acts 26:18).</w:t>
      </w:r>
    </w:p>
    <w:p w14:paraId="336DEDFF" w14:textId="77777777" w:rsidR="002A340F" w:rsidRPr="002A340F" w:rsidRDefault="002A340F" w:rsidP="002A340F">
      <w:pPr>
        <w:pStyle w:val="Heading4"/>
        <w:numPr>
          <w:ilvl w:val="0"/>
          <w:numId w:val="0"/>
        </w:numPr>
        <w:rPr>
          <w:sz w:val="26"/>
          <w:szCs w:val="26"/>
        </w:rPr>
      </w:pPr>
      <w:r w:rsidRPr="002A340F">
        <w:rPr>
          <w:sz w:val="26"/>
          <w:szCs w:val="26"/>
        </w:rPr>
        <w:t>The Children of God (Matt. 5:9; Jn. 11:52; Rm.8:16, 21; Gal.3:26; 1Jn.3:10; 5:2)</w:t>
      </w:r>
    </w:p>
    <w:p w14:paraId="1B502EE0" w14:textId="77777777" w:rsidR="002A340F" w:rsidRPr="002A340F" w:rsidRDefault="002A340F" w:rsidP="002A340F">
      <w:pPr>
        <w:pStyle w:val="NoSpacing"/>
        <w:rPr>
          <w:sz w:val="26"/>
          <w:szCs w:val="26"/>
        </w:rPr>
      </w:pPr>
      <w:r w:rsidRPr="002A340F">
        <w:rPr>
          <w:sz w:val="26"/>
          <w:szCs w:val="26"/>
        </w:rPr>
        <w:t>This is another title for the children of the kingdom. It is one that multitudes claim. Part of their argument for the claim is that God created all things originally (including mankind), so all mankind are children of God.</w:t>
      </w:r>
    </w:p>
    <w:p w14:paraId="6E22F5AE" w14:textId="77777777" w:rsidR="002A340F" w:rsidRPr="002A340F" w:rsidRDefault="002A340F" w:rsidP="002A340F">
      <w:pPr>
        <w:pStyle w:val="NoSpacing"/>
        <w:rPr>
          <w:sz w:val="26"/>
          <w:szCs w:val="26"/>
        </w:rPr>
      </w:pPr>
      <w:r w:rsidRPr="002A340F">
        <w:rPr>
          <w:sz w:val="26"/>
          <w:szCs w:val="26"/>
        </w:rPr>
        <w:t>However, we find that the Bible gives the title, children of God only to the people who have fulfilled some requirements, or have some defined qualities, and not to all people of the world indiscriminately.</w:t>
      </w:r>
    </w:p>
    <w:p w14:paraId="4E37F7CA" w14:textId="3F7A5B93" w:rsidR="002A340F" w:rsidRDefault="002A340F" w:rsidP="002A340F">
      <w:pPr>
        <w:pStyle w:val="NoSpacing"/>
        <w:rPr>
          <w:sz w:val="26"/>
          <w:szCs w:val="26"/>
        </w:rPr>
      </w:pPr>
      <w:r w:rsidRPr="002A340F">
        <w:rPr>
          <w:sz w:val="26"/>
          <w:szCs w:val="26"/>
        </w:rPr>
        <w:t>In Romans 8:16, the children of God are revealed to be those who have the witness of the indwelling Holy Spirit of God in their hearts; witnessing that they are the sons of God. In 1Jn3:10 and 5:2, it’s shown that the children of God are those who live right, love, and keep God's commandments in all other areas of life (cons. Jas.2:10-11).</w:t>
      </w:r>
    </w:p>
    <w:p w14:paraId="5417F676" w14:textId="77777777" w:rsidR="002A340F" w:rsidRPr="002A340F" w:rsidRDefault="002A340F" w:rsidP="002A340F">
      <w:pPr>
        <w:rPr>
          <w:lang w:val="en-CA"/>
        </w:rPr>
      </w:pPr>
    </w:p>
    <w:p w14:paraId="4B100BB2" w14:textId="10EC8B93" w:rsidR="0088752A" w:rsidRPr="002A340F" w:rsidRDefault="00541B47" w:rsidP="001311B0">
      <w:pPr>
        <w:spacing w:after="0" w:line="480" w:lineRule="auto"/>
        <w:jc w:val="both"/>
        <w:rPr>
          <w:rFonts w:ascii="Times New Roman" w:hAnsi="Times New Roman" w:cs="Times New Roman"/>
          <w:b/>
          <w:bCs/>
          <w:sz w:val="26"/>
          <w:szCs w:val="26"/>
        </w:rPr>
      </w:pPr>
      <w:r w:rsidRPr="002A340F">
        <w:rPr>
          <w:rFonts w:ascii="Times New Roman" w:hAnsi="Times New Roman" w:cs="Times New Roman"/>
          <w:b/>
          <w:bCs/>
          <w:sz w:val="26"/>
          <w:szCs w:val="26"/>
        </w:rPr>
        <w:t>Questions and Answers.</w:t>
      </w:r>
    </w:p>
    <w:sectPr w:rsidR="0088752A" w:rsidRPr="002A340F" w:rsidSect="00597D62">
      <w:pgSz w:w="12240" w:h="15840"/>
      <w:pgMar w:top="1134" w:right="1134" w:bottom="1134" w:left="1134"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90139F"/>
    <w:multiLevelType w:val="hybridMultilevel"/>
    <w:tmpl w:val="EA80E05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0503D8"/>
    <w:multiLevelType w:val="hybridMultilevel"/>
    <w:tmpl w:val="DFD239CC"/>
    <w:lvl w:ilvl="0" w:tplc="BDCEF9E8">
      <w:start w:val="1"/>
      <w:numFmt w:val="decimal"/>
      <w:pStyle w:val="Heading3"/>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38F1346"/>
    <w:multiLevelType w:val="hybridMultilevel"/>
    <w:tmpl w:val="CBF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D67A49"/>
    <w:multiLevelType w:val="hybridMultilevel"/>
    <w:tmpl w:val="E5081100"/>
    <w:lvl w:ilvl="0" w:tplc="8864DEAC">
      <w:start w:val="1"/>
      <w:numFmt w:val="lowerRoman"/>
      <w:pStyle w:val="Heading4"/>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806434841">
    <w:abstractNumId w:val="0"/>
  </w:num>
  <w:num w:numId="2" w16cid:durableId="1672293968">
    <w:abstractNumId w:val="3"/>
  </w:num>
  <w:num w:numId="3" w16cid:durableId="444883746">
    <w:abstractNumId w:val="1"/>
  </w:num>
  <w:num w:numId="4" w16cid:durableId="1763793481">
    <w:abstractNumId w:val="4"/>
  </w:num>
  <w:num w:numId="5" w16cid:durableId="1676492714">
    <w:abstractNumId w:val="6"/>
  </w:num>
  <w:num w:numId="6" w16cid:durableId="793718637">
    <w:abstractNumId w:val="5"/>
  </w:num>
  <w:num w:numId="7" w16cid:durableId="19946720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2A"/>
    <w:rsid w:val="00013AEB"/>
    <w:rsid w:val="00036101"/>
    <w:rsid w:val="000459EA"/>
    <w:rsid w:val="000833FA"/>
    <w:rsid w:val="0008613C"/>
    <w:rsid w:val="000934F2"/>
    <w:rsid w:val="00096472"/>
    <w:rsid w:val="000E67E1"/>
    <w:rsid w:val="001311B0"/>
    <w:rsid w:val="00135FCA"/>
    <w:rsid w:val="001B65B6"/>
    <w:rsid w:val="001E11BF"/>
    <w:rsid w:val="002028D9"/>
    <w:rsid w:val="00211970"/>
    <w:rsid w:val="00261F3E"/>
    <w:rsid w:val="0027783A"/>
    <w:rsid w:val="0028451C"/>
    <w:rsid w:val="002A340F"/>
    <w:rsid w:val="002B1688"/>
    <w:rsid w:val="002C31C6"/>
    <w:rsid w:val="00345D2F"/>
    <w:rsid w:val="00346E2A"/>
    <w:rsid w:val="0036764F"/>
    <w:rsid w:val="00367912"/>
    <w:rsid w:val="003F54EF"/>
    <w:rsid w:val="004077B4"/>
    <w:rsid w:val="0041456D"/>
    <w:rsid w:val="004235B2"/>
    <w:rsid w:val="00446267"/>
    <w:rsid w:val="00494766"/>
    <w:rsid w:val="004D0B81"/>
    <w:rsid w:val="004E202C"/>
    <w:rsid w:val="00541B47"/>
    <w:rsid w:val="00542292"/>
    <w:rsid w:val="00597D62"/>
    <w:rsid w:val="005D1EBB"/>
    <w:rsid w:val="005F2957"/>
    <w:rsid w:val="00605273"/>
    <w:rsid w:val="00606628"/>
    <w:rsid w:val="00607D6F"/>
    <w:rsid w:val="006458B5"/>
    <w:rsid w:val="00657182"/>
    <w:rsid w:val="00660526"/>
    <w:rsid w:val="006A50DC"/>
    <w:rsid w:val="006A7EA6"/>
    <w:rsid w:val="006D6E82"/>
    <w:rsid w:val="00752A19"/>
    <w:rsid w:val="007629DD"/>
    <w:rsid w:val="007A7692"/>
    <w:rsid w:val="007D2153"/>
    <w:rsid w:val="0082243B"/>
    <w:rsid w:val="008409B1"/>
    <w:rsid w:val="00852368"/>
    <w:rsid w:val="00867392"/>
    <w:rsid w:val="0088752A"/>
    <w:rsid w:val="008959F6"/>
    <w:rsid w:val="008F505B"/>
    <w:rsid w:val="008F6B8A"/>
    <w:rsid w:val="0091759B"/>
    <w:rsid w:val="009247F7"/>
    <w:rsid w:val="00935E3D"/>
    <w:rsid w:val="00964FB4"/>
    <w:rsid w:val="00982F2A"/>
    <w:rsid w:val="009E01A6"/>
    <w:rsid w:val="00A444A8"/>
    <w:rsid w:val="00A573A6"/>
    <w:rsid w:val="00A91FE6"/>
    <w:rsid w:val="00AD1800"/>
    <w:rsid w:val="00B67710"/>
    <w:rsid w:val="00B85872"/>
    <w:rsid w:val="00BD01CB"/>
    <w:rsid w:val="00BF75E3"/>
    <w:rsid w:val="00C72C05"/>
    <w:rsid w:val="00CA17CA"/>
    <w:rsid w:val="00CD42A8"/>
    <w:rsid w:val="00D25EE2"/>
    <w:rsid w:val="00D65BB1"/>
    <w:rsid w:val="00DB27DF"/>
    <w:rsid w:val="00DB4FD5"/>
    <w:rsid w:val="00DC0320"/>
    <w:rsid w:val="00E06DD1"/>
    <w:rsid w:val="00E54C56"/>
    <w:rsid w:val="00E57CD0"/>
    <w:rsid w:val="00EC5E34"/>
    <w:rsid w:val="00F10821"/>
    <w:rsid w:val="00F3188A"/>
    <w:rsid w:val="00F505E2"/>
    <w:rsid w:val="00FD72CD"/>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72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Spacing"/>
    <w:link w:val="Heading2Char"/>
    <w:uiPriority w:val="9"/>
    <w:unhideWhenUsed/>
    <w:qFormat/>
    <w:rsid w:val="00FD72CD"/>
    <w:pPr>
      <w:spacing w:before="140" w:after="140" w:line="360" w:lineRule="auto"/>
      <w:ind w:left="1440" w:hanging="1440"/>
      <w:outlineLvl w:val="1"/>
    </w:pPr>
    <w:rPr>
      <w:rFonts w:ascii="Times New Roman" w:hAnsi="Times New Roman"/>
      <w:b/>
      <w:color w:val="auto"/>
      <w:sz w:val="24"/>
      <w:szCs w:val="26"/>
      <w:lang w:val="en-CA"/>
    </w:rPr>
  </w:style>
  <w:style w:type="paragraph" w:styleId="Heading3">
    <w:name w:val="heading 3"/>
    <w:basedOn w:val="Heading2"/>
    <w:next w:val="NoSpacing"/>
    <w:link w:val="Heading3Char"/>
    <w:autoRedefine/>
    <w:uiPriority w:val="9"/>
    <w:unhideWhenUsed/>
    <w:qFormat/>
    <w:rsid w:val="00FD72CD"/>
    <w:pPr>
      <w:numPr>
        <w:numId w:val="4"/>
      </w:numPr>
      <w:ind w:hanging="720"/>
      <w:jc w:val="both"/>
      <w:outlineLvl w:val="2"/>
    </w:pPr>
    <w:rPr>
      <w:sz w:val="22"/>
      <w:szCs w:val="22"/>
    </w:rPr>
  </w:style>
  <w:style w:type="paragraph" w:styleId="Heading4">
    <w:name w:val="heading 4"/>
    <w:basedOn w:val="Heading3"/>
    <w:next w:val="NoSpacing"/>
    <w:link w:val="Heading4Char"/>
    <w:autoRedefine/>
    <w:uiPriority w:val="9"/>
    <w:unhideWhenUsed/>
    <w:qFormat/>
    <w:rsid w:val="00FD72CD"/>
    <w:pPr>
      <w:numPr>
        <w:numId w:val="5"/>
      </w:numPr>
      <w:spacing w:after="40" w:line="276" w:lineRule="auto"/>
      <w:ind w:hanging="720"/>
      <w:outlineLvl w:val="3"/>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 w:type="character" w:customStyle="1" w:styleId="Heading2Char">
    <w:name w:val="Heading 2 Char"/>
    <w:basedOn w:val="DefaultParagraphFont"/>
    <w:link w:val="Heading2"/>
    <w:uiPriority w:val="9"/>
    <w:rsid w:val="00FD72CD"/>
    <w:rPr>
      <w:rFonts w:ascii="Times New Roman" w:eastAsiaTheme="majorEastAsia" w:hAnsi="Times New Roman" w:cstheme="majorBidi"/>
      <w:b/>
      <w:sz w:val="24"/>
      <w:szCs w:val="26"/>
      <w:lang w:val="en-CA"/>
    </w:rPr>
  </w:style>
  <w:style w:type="character" w:customStyle="1" w:styleId="Heading3Char">
    <w:name w:val="Heading 3 Char"/>
    <w:basedOn w:val="DefaultParagraphFont"/>
    <w:link w:val="Heading3"/>
    <w:uiPriority w:val="9"/>
    <w:rsid w:val="00FD72CD"/>
    <w:rPr>
      <w:rFonts w:ascii="Times New Roman" w:eastAsiaTheme="majorEastAsia" w:hAnsi="Times New Roman" w:cstheme="majorBidi"/>
      <w:b/>
      <w:lang w:val="en-CA"/>
    </w:rPr>
  </w:style>
  <w:style w:type="character" w:customStyle="1" w:styleId="Heading4Char">
    <w:name w:val="Heading 4 Char"/>
    <w:basedOn w:val="DefaultParagraphFont"/>
    <w:link w:val="Heading4"/>
    <w:uiPriority w:val="9"/>
    <w:rsid w:val="00FD72CD"/>
    <w:rPr>
      <w:rFonts w:ascii="Times New Roman" w:eastAsiaTheme="majorEastAsia" w:hAnsi="Times New Roman" w:cstheme="majorBidi"/>
      <w:b/>
      <w:i/>
      <w:iCs/>
      <w:lang w:val="en-CA"/>
    </w:rPr>
  </w:style>
  <w:style w:type="paragraph" w:styleId="NoSpacing">
    <w:name w:val="No Spacing"/>
    <w:aliases w:val="Body"/>
    <w:next w:val="Normal"/>
    <w:uiPriority w:val="1"/>
    <w:qFormat/>
    <w:rsid w:val="00FD72CD"/>
    <w:pPr>
      <w:spacing w:before="240" w:after="240" w:line="240" w:lineRule="auto"/>
      <w:jc w:val="both"/>
    </w:pPr>
    <w:rPr>
      <w:rFonts w:ascii="Times New Roman" w:hAnsi="Times New Roman"/>
      <w:sz w:val="24"/>
      <w:lang w:val="en-CA"/>
    </w:rPr>
  </w:style>
  <w:style w:type="character" w:customStyle="1" w:styleId="Heading1Char">
    <w:name w:val="Heading 1 Char"/>
    <w:basedOn w:val="DefaultParagraphFont"/>
    <w:link w:val="Heading1"/>
    <w:uiPriority w:val="9"/>
    <w:rsid w:val="00FD72C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87BA6-8704-42A4-871D-28F8D4BB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637</Words>
  <Characters>3636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Glory Madu</cp:lastModifiedBy>
  <cp:revision>3</cp:revision>
  <cp:lastPrinted>2022-11-27T03:46:00Z</cp:lastPrinted>
  <dcterms:created xsi:type="dcterms:W3CDTF">2022-11-27T03:41:00Z</dcterms:created>
  <dcterms:modified xsi:type="dcterms:W3CDTF">2022-11-27T03:46:00Z</dcterms:modified>
</cp:coreProperties>
</file>